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jc w:val="both"/>
        <w:pageBreakBefore/>
      </w:pPr>
      <w:r>
        <w:rPr>
          <w:sz w:val="24"/>
          <w:u w:val="single"/>
          <w:b/>
        </w:rPr>
        <w:t>Плата за содержание жилья, введенная с августа 2014 года, сбор на ремонт подъезда, услугу</w:t>
      </w:r>
      <w:bookmarkStart w:id="0" w:name="_GoBack"/>
      <w:bookmarkEnd w:id="0"/>
      <w:r>
        <w:rPr>
          <w:sz w:val="24"/>
          <w:u w:val="single"/>
          <w:b/>
        </w:rPr>
        <w:t xml:space="preserve"> консьержа</w:t>
      </w:r>
      <w:r>
        <w:rPr>
          <w:sz w:val="24"/>
          <w:b/>
        </w:rPr>
        <w:t>:</w:t>
      </w:r>
    </w:p>
    <w:p>
      <w:pPr>
        <w:pStyle w:val="style22"/>
        <w:jc w:val="both"/>
        <w:ind w:hanging="0" w:left="709" w:right="0"/>
      </w:pPr>
      <w:r>
        <w:rPr>
          <w:sz w:val="24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jc w:val="left"/>
        <w:tblInd w:type="dxa" w:w="-30"/>
      </w:tblPr>
      <w:tblGrid>
        <w:gridCol w:w="2234"/>
        <w:gridCol w:w="2432"/>
        <w:gridCol w:w="2501"/>
        <w:gridCol w:w="1866"/>
      </w:tblGrid>
      <w:tr>
        <w:trPr>
          <w:trHeight w:hRule="atLeast" w:val="1007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22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color w:val="000000"/>
                <w:rFonts w:cs="Arial"/>
              </w:rPr>
              <w:t>Дом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243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color w:val="000000"/>
                <w:b/>
                <w:bCs/>
                <w:rFonts w:cs="Arial"/>
              </w:rPr>
              <w:t>Содержание жилья</w:t>
            </w:r>
          </w:p>
          <w:p>
            <w:pPr>
              <w:pStyle w:val="style0"/>
            </w:pPr>
            <w:r>
              <w:rPr>
                <w:color w:val="000000"/>
                <w:b/>
                <w:bCs/>
                <w:rFonts w:cs="Arial"/>
              </w:rPr>
              <w:t>руб./кв.м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/>
            <w:tcW w:type="dxa" w:w="250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color w:val="000000"/>
                <w:b/>
                <w:bCs/>
                <w:rFonts w:cs="Arial"/>
              </w:rPr>
              <w:t>Сбор на ремонт подъезда</w:t>
            </w:r>
          </w:p>
          <w:p>
            <w:pPr>
              <w:pStyle w:val="style0"/>
            </w:pPr>
            <w:r>
              <w:rPr>
                <w:color w:val="000000"/>
                <w:b/>
                <w:bCs/>
                <w:rFonts w:cs="Arial"/>
              </w:rPr>
              <w:t>руб./кв.м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6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  <w:t>Консьерж</w:t>
            </w:r>
          </w:p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  <w:t>руб./кв.м</w:t>
            </w:r>
          </w:p>
        </w:tc>
      </w:tr>
      <w:tr>
        <w:trPr>
          <w:trHeight w:hRule="atLeast" w:val="84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2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rFonts w:cs="Arial"/>
              </w:rPr>
              <w:t>ул.Невзоровых-47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43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  <w:t>17,7</w:t>
            </w:r>
            <w:r>
              <w:rPr>
                <w:color w:val="000000"/>
                <w:b/>
                <w:bCs/>
                <w:rFonts w:cs="Arial"/>
                <w:lang w:val="ru-RU"/>
              </w:rPr>
              <w:t>2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50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  <w:t>0,96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6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</w:r>
          </w:p>
        </w:tc>
      </w:tr>
      <w:tr>
        <w:trPr>
          <w:trHeight w:hRule="atLeast" w:val="795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2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rFonts w:cs="Arial"/>
              </w:rPr>
              <w:t>ул.Ижорская-11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43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  <w:t>18,12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50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  <w:t>0,96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6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</w:r>
          </w:p>
        </w:tc>
      </w:tr>
      <w:tr>
        <w:trPr>
          <w:trHeight w:hRule="atLeast" w:val="765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2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rFonts w:cs="Arial"/>
              </w:rPr>
              <w:t>ул.Генкиной-38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43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  <w:t>17,74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50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  <w:t>0,96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6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</w:r>
          </w:p>
        </w:tc>
      </w:tr>
      <w:tr>
        <w:trPr>
          <w:trHeight w:hRule="atLeast" w:val="555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2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rFonts w:cs="Arial"/>
              </w:rPr>
              <w:t>ул.Генкиной-40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43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  <w:t>18,25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50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  <w:t>0,96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6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</w:r>
          </w:p>
        </w:tc>
      </w:tr>
      <w:tr>
        <w:trPr>
          <w:trHeight w:hRule="atLeast" w:val="735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2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rFonts w:cs="Arial"/>
              </w:rPr>
              <w:t>ул.Генкиной-42/15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43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  <w:t>18,96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50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  <w:t>0,96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6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</w:r>
          </w:p>
        </w:tc>
      </w:tr>
      <w:tr>
        <w:trPr>
          <w:trHeight w:hRule="atLeast" w:val="96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2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rFonts w:cs="Arial"/>
              </w:rPr>
              <w:t>ул.Ванеева-6,</w:t>
            </w:r>
          </w:p>
          <w:p>
            <w:pPr>
              <w:pStyle w:val="style0"/>
              <w:jc w:val="center"/>
            </w:pPr>
            <w:r>
              <w:rPr>
                <w:color w:val="000000"/>
                <w:rFonts w:cs="Arial"/>
              </w:rPr>
              <w:t>подъезд 1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43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  <w:t>16,76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50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</w:r>
          </w:p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  <w:t>0,96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6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</w:r>
          </w:p>
        </w:tc>
      </w:tr>
      <w:tr>
        <w:trPr>
          <w:trHeight w:hRule="atLeast" w:val="1020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2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rFonts w:cs="Arial"/>
              </w:rPr>
              <w:t>ул.Ванеева-6,</w:t>
            </w:r>
          </w:p>
          <w:p>
            <w:pPr>
              <w:pStyle w:val="style0"/>
              <w:jc w:val="center"/>
            </w:pPr>
            <w:r>
              <w:rPr>
                <w:color w:val="000000"/>
                <w:rFonts w:cs="Arial"/>
              </w:rPr>
              <w:t>подъезд 2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43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  <w:t>18,63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50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</w:r>
          </w:p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  <w:t>0,96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6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</w:r>
          </w:p>
        </w:tc>
      </w:tr>
      <w:tr>
        <w:trPr>
          <w:trHeight w:hRule="atLeast" w:val="1065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2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rFonts w:cs="Arial"/>
              </w:rPr>
              <w:t>Ул.Ванеева-4</w:t>
            </w:r>
          </w:p>
          <w:p>
            <w:pPr>
              <w:pStyle w:val="style0"/>
              <w:jc w:val="center"/>
            </w:pPr>
            <w:r>
              <w:rPr>
                <w:color w:val="000000"/>
                <w:rFonts w:cs="Arial"/>
              </w:rPr>
              <w:t>подъезд 1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43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  <w:t>19,69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50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</w:r>
          </w:p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  <w:t>0,96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6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</w:r>
          </w:p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  <w:t>13,3</w:t>
            </w:r>
          </w:p>
        </w:tc>
      </w:tr>
      <w:tr>
        <w:trPr>
          <w:trHeight w:hRule="atLeast" w:val="509"/>
          <w:cantSplit w:val="off"/>
        </w:trPr>
        <w:tc>
          <w:tcPr>
            <w:tcBorders>
              <w:left w:color="000001" w:space="0" w:sz="4" w:val="single"/>
            </w:tcBorders>
            <w:shd w:fill="auto"/>
            <w:tcW w:type="dxa" w:w="22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color w:val="000000"/>
                <w:rFonts w:cs="Arial"/>
              </w:rPr>
              <w:t>ул.Ванеева-4/45</w:t>
            </w:r>
          </w:p>
        </w:tc>
        <w:tc>
          <w:tcPr>
            <w:tcBorders>
              <w:left w:color="000001" w:space="0" w:sz="4" w:val="single"/>
            </w:tcBorders>
            <w:shd w:fill="auto"/>
            <w:tcW w:type="dxa" w:w="243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</w:r>
          </w:p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  <w:t>19,59</w:t>
            </w:r>
          </w:p>
        </w:tc>
        <w:tc>
          <w:tcPr>
            <w:tcBorders>
              <w:left w:color="000001" w:space="0" w:sz="4" w:val="single"/>
            </w:tcBorders>
            <w:shd w:fill="auto"/>
            <w:tcW w:type="dxa" w:w="250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  <w:t>0,96</w:t>
            </w:r>
          </w:p>
        </w:tc>
        <w:tc>
          <w:tcPr>
            <w:tcBorders>
              <w:left w:color="000001" w:space="0" w:sz="4" w:val="single"/>
              <w:right w:color="000001" w:space="0" w:sz="4" w:val="single"/>
            </w:tcBorders>
            <w:shd w:fill="auto"/>
            <w:tcW w:type="dxa" w:w="186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  <w:t>13,3</w:t>
            </w:r>
          </w:p>
        </w:tc>
      </w:tr>
      <w:tr>
        <w:trPr>
          <w:trHeight w:hRule="atLeast" w:val="841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2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rFonts w:cs="Arial"/>
              </w:rPr>
              <w:t>подъезд 2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43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/>
            <w:tcW w:type="dxa" w:w="250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6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b/>
                <w:bCs/>
                <w:rFonts w:cs="Arial"/>
              </w:rPr>
            </w:r>
          </w:p>
        </w:tc>
      </w:tr>
    </w:tbl>
    <w:p>
      <w:pPr>
        <w:pStyle w:val="style0"/>
        <w:jc w:val="both"/>
        <w:ind w:firstLine="709" w:left="0" w:right="0"/>
      </w:pPr>
      <w:r>
        <w:rPr>
          <w:sz w:val="20"/>
          <w:szCs w:val="20"/>
          <w:rFonts w:ascii="Arial" w:cs="Arial" w:hAnsi="Arial"/>
        </w:rPr>
      </w:r>
    </w:p>
    <w:p>
      <w:pPr>
        <w:pStyle w:val="style0"/>
        <w:jc w:val="both"/>
      </w:pPr>
      <w:r>
        <w:rPr>
          <w:b/>
          <w:szCs w:val="20"/>
          <w:rFonts w:ascii="Arial" w:cs="Arial" w:hAnsi="Arial"/>
          <w:lang w:val="ru-RU"/>
        </w:rPr>
        <w:t>Примечание. Сбор на ремонт подъезда применяется в тех подъездах, где еще не был проведен полный косметический ремонт либо где проведен ремонт на большую сумму, нежели собранная собственниками сумма.</w:t>
      </w:r>
    </w:p>
    <w:p>
      <w:pPr>
        <w:pStyle w:val="style0"/>
        <w:jc w:val="both"/>
      </w:pPr>
      <w:r>
        <w:rPr>
          <w:b/>
          <w:szCs w:val="20"/>
          <w:rFonts w:ascii="Arial" w:cs="Arial" w:hAnsi="Arial"/>
          <w:lang w:val="ru-RU"/>
        </w:rPr>
      </w:r>
    </w:p>
    <w:p>
      <w:pPr>
        <w:pStyle w:val="style0"/>
        <w:jc w:val="both"/>
      </w:pPr>
      <w:r>
        <w:rPr>
          <w:b/>
          <w:szCs w:val="20"/>
          <w:rFonts w:ascii="Arial" w:cs="Arial" w:hAnsi="Arial"/>
          <w:lang w:val="ru-RU"/>
        </w:rPr>
      </w:r>
    </w:p>
    <w:p>
      <w:pPr>
        <w:pStyle w:val="style0"/>
        <w:jc w:val="both"/>
      </w:pPr>
      <w:r>
        <w:rPr>
          <w:u w:val="single"/>
          <w:b/>
          <w:szCs w:val="20"/>
          <w:rFonts w:ascii="Arial" w:cs="Arial" w:hAnsi="Arial"/>
          <w:lang w:val="ru-RU"/>
        </w:rPr>
        <w:t>Доплата за использование видеодомофона вместо аудиодомофона</w:t>
      </w:r>
      <w:r>
        <w:rPr>
          <w:b/>
          <w:szCs w:val="20"/>
          <w:rFonts w:ascii="Arial" w:cs="Arial" w:hAnsi="Arial"/>
          <w:lang w:val="ru-RU"/>
        </w:rPr>
        <w:t xml:space="preserve"> – 25 руб. с квартиры.</w:t>
      </w:r>
    </w:p>
    <w:p>
      <w:pPr>
        <w:pStyle w:val="style0"/>
        <w:jc w:val="both"/>
      </w:pPr>
      <w:r>
        <w:rPr>
          <w:b/>
          <w:szCs w:val="20"/>
          <w:rFonts w:ascii="Arial" w:cs="Arial" w:hAnsi="Arial"/>
          <w:lang w:val="ru-RU"/>
        </w:rPr>
      </w:r>
    </w:p>
    <w:p>
      <w:pPr>
        <w:pStyle w:val="style0"/>
        <w:jc w:val="both"/>
      </w:pPr>
      <w:r>
        <w:rPr>
          <w:u w:val="single"/>
          <w:b/>
          <w:szCs w:val="20"/>
          <w:rFonts w:ascii="Arial" w:cs="Arial" w:hAnsi="Arial"/>
        </w:rPr>
        <w:t xml:space="preserve">Плата за уборку подъезда </w:t>
      </w:r>
      <w:r>
        <w:rPr>
          <w:u w:val="single"/>
          <w:b/>
          <w:szCs w:val="20"/>
          <w:rFonts w:ascii="Arial" w:cs="Arial" w:hAnsi="Arial"/>
          <w:lang w:val="ru-RU"/>
        </w:rPr>
        <w:t>с августа 2014 г.</w:t>
      </w:r>
    </w:p>
    <w:p>
      <w:pPr>
        <w:pStyle w:val="style0"/>
        <w:jc w:val="both"/>
      </w:pPr>
      <w:r>
        <w:rPr>
          <w:b/>
          <w:szCs w:val="20"/>
          <w:rFonts w:ascii="Arial" w:cs="Arial" w:hAnsi="Arial"/>
          <w:lang w:val="ru-RU"/>
        </w:rPr>
        <w:t xml:space="preserve">Тариф </w:t>
      </w:r>
      <w:r>
        <w:rPr>
          <w:b/>
          <w:szCs w:val="20"/>
          <w:rFonts w:ascii="Arial" w:cs="Arial" w:hAnsi="Arial"/>
        </w:rPr>
        <w:t>определен отдельно для каждого подъезда, исходя из убираемой площади и площади квартир (столбец отапливаемая площадь подъезда).</w:t>
      </w:r>
    </w:p>
    <w:p>
      <w:pPr>
        <w:pStyle w:val="style0"/>
        <w:jc w:val="both"/>
        <w:ind w:firstLine="709" w:left="0" w:right="0"/>
      </w:pPr>
      <w:r>
        <w:rPr>
          <w:sz w:val="20"/>
          <w:szCs w:val="20"/>
          <w:rFonts w:ascii="Arial" w:cs="Arial" w:hAnsi="Arial"/>
        </w:rPr>
      </w:r>
    </w:p>
    <w:p>
      <w:pPr>
        <w:pStyle w:val="style0"/>
        <w:jc w:val="both"/>
        <w:ind w:firstLine="709" w:left="0" w:right="0"/>
      </w:pPr>
      <w:r>
        <w:rPr>
          <w:sz w:val="20"/>
          <w:szCs w:val="20"/>
          <w:rFonts w:ascii="Arial" w:cs="Arial" w:hAnsi="Arial"/>
        </w:rPr>
      </w:r>
    </w:p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suppressAutoHyphens w:val="true"/>
      <w:tabs>
        <w:tab w:leader="none" w:pos="709" w:val="left"/>
      </w:tabs>
      <w:spacing w:after="0" w:before="0" w:line="100" w:lineRule="atLeast"/>
    </w:pPr>
    <w:rPr>
      <w:color w:val="auto"/>
      <w:sz w:val="24"/>
      <w:szCs w:val="24"/>
      <w:rFonts w:ascii="Times New Roman" w:cs="Tahoma" w:eastAsia="Andale Sans UI" w:hAnsi="Times New Roman"/>
      <w:lang w:bidi="fa-IR" w:eastAsia="ja-JP" w:val="de-DE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Tahoma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Tahoma" w:hAnsi="Arial"/>
    </w:rPr>
  </w:style>
  <w:style w:styleId="style22" w:type="paragraph">
    <w:name w:val="Standard"/>
    <w:next w:val="style22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23" w:type="paragraph">
    <w:name w:val="Balloon Text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2014-08-22T05:34:00.00Z</dcterms:created>
  <dc:creator>УПЧ</dc:creator>
  <cp:lastModifiedBy>УПЧ</cp:lastModifiedBy>
  <cp:lastPrinted>2014-08-27T15:22:38.00Z</cp:lastPrinted>
  <dcterms:modified xsi:type="dcterms:W3CDTF">2014-08-22T05:34:00.00Z</dcterms:modified>
  <cp:revision>2</cp:revision>
</cp:coreProperties>
</file>